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Level II, Novice High to Intermediate Low Proficiency</w:t>
      </w:r>
      <w:r w:rsidDel="00000000" w:rsidR="00000000" w:rsidRPr="00000000">
        <w:rPr>
          <w:rtl w:val="0"/>
        </w:rPr>
      </w:r>
    </w:p>
    <w:tbl>
      <w:tblPr>
        <w:tblStyle w:val="Table1"/>
        <w:tblW w:w="14148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185"/>
        <w:gridCol w:w="2265"/>
        <w:gridCol w:w="2460"/>
        <w:gridCol w:w="2445"/>
        <w:gridCol w:w="2499"/>
        <w:gridCol w:w="2499"/>
        <w:tblGridChange w:id="0">
          <w:tblGrid>
            <w:gridCol w:w="795"/>
            <w:gridCol w:w="1185"/>
            <w:gridCol w:w="2265"/>
            <w:gridCol w:w="2460"/>
            <w:gridCol w:w="2445"/>
            <w:gridCol w:w="2499"/>
            <w:gridCol w:w="2499"/>
          </w:tblGrid>
        </w:tblGridChange>
      </w:tblGrid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381125" cy="4191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669050" y="3585300"/>
                                <a:ext cx="1353900" cy="38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b5394"/>
                                      <w:sz w:val="28"/>
                                      <w:vertAlign w:val="baseline"/>
                                    </w:rPr>
                                    <w:t xml:space="preserve">Fall Semester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81125" cy="419100"/>
                      <wp:effectExtent b="0" l="0" r="0" t="0"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empezar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3A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describing people, leisure activities, likes, nationalities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verb ser, noun/adjective agreement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1A: ¿Qué haces en la escuela?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classroom ítems, rules, activities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stem-changing verbs, ser/estar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1B: ¿Qué haces después de clases?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extracurricular activities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comparisons; review saber/conocer; hace +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2A: ¿Cómo te preparas?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daily routines, getting ready </w:t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reflexive verbs, possessive adjectives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2B:¿Qué ropa compraste? </w:t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shopping, prices, money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review preterite of regular verbs; demonstrative adjectives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3A: ¿Qué hiciste ayer?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running errands; locations in a downtown; items purchased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review DOPs; irregular preterite of ir, ser, hacer, tener, estar, poder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Ideas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TEKS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1B,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1E, 1F,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2C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3B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1B, 1C,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1E, 1F,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2C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3A, 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1B,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1E, 1F,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2C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2D,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3A, 3B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1B,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1E,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2B,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8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185"/>
        <w:gridCol w:w="2265"/>
        <w:gridCol w:w="2460"/>
        <w:gridCol w:w="2445"/>
        <w:gridCol w:w="2499"/>
        <w:gridCol w:w="2499"/>
        <w:tblGridChange w:id="0">
          <w:tblGrid>
            <w:gridCol w:w="795"/>
            <w:gridCol w:w="1185"/>
            <w:gridCol w:w="2265"/>
            <w:gridCol w:w="2460"/>
            <w:gridCol w:w="2445"/>
            <w:gridCol w:w="2499"/>
            <w:gridCol w:w="2499"/>
          </w:tblGrid>
        </w:tblGridChange>
      </w:tblGrid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895475" cy="4191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10900" y="3585300"/>
                                <a:ext cx="1870200" cy="38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b5394"/>
                                      <w:sz w:val="28"/>
                                      <w:vertAlign w:val="baseline"/>
                                    </w:rPr>
                                    <w:t xml:space="preserve">Spring Semester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95475" cy="419100"/>
                      <wp:effectExtent b="0" l="0" r="0" t="0"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3B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 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Capítulos Opcionales</w:t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1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4A: Cuando éramos niños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toys, describing children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imperfect tense- regular and irregular, IOP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4B: Celebrando los días festivos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etiquette; holidays and family celebrations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imperfect tense; describing a situation; reciprocal actions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5A: Un acto heróico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natural disasters; emergencies; rescues; heroes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imperfect tense; preterite of oír, leer, creer, destruir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5B: Un accidente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parts of the body; accidents; emergency room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irregular preterites of venir, poner, decir, traer; imperfect progressive and preterite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3B: ¿Cómo se va?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places in a city/town; driving; modes of transportation </w:t>
            </w:r>
          </w:p>
          <w:p w:rsidR="00000000" w:rsidDel="00000000" w:rsidP="00000000" w:rsidRDefault="00000000" w:rsidRPr="00000000" w14:paraId="00000040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DOPs; irregular affirmative tú commands; review irregular present progressive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7A: ¿Cómo se hace la paella?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cooking; food; appliances; following a recipe; giving directions in a kitchen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negative tú commands; impersonal se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7B: ¿Te gusta comer al aire libre?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camping and cookouts; food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Grammar: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Usted and ustedes commands; uses of por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8A: Un viaje en avión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visiting an airport; planning a trip; traveling safely Teach vocabulary and reinforce with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lecturas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8B: Quiero que disfrutes de tu viaje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staying in a hotel; tourist behaviors; traveling in a foreign city Teach vocabulary and reinforce with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lecturas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9A: ¿Qué profesión?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professions; making plans for the future; Teach vocabulary and reinforce with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lecturas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9B: ¿Qué haremos para mejorar el mundo?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environment; environmental issues and solutions Teach vocabulary and reinforce with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lecturas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1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Ideas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16" w:lineRule="auto"/>
              <w:jc w:val="center"/>
              <w:rPr>
                <w:b w:val="1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TEKS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1B, 1E,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2B, 2C, 3B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1B, 1C, 1D,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1E, 1F,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2C, 3A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3B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1E,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2C,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1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*Priority standards are designated in bold.</w:t>
      </w:r>
    </w:p>
    <w:p w:rsidR="00000000" w:rsidDel="00000000" w:rsidP="00000000" w:rsidRDefault="00000000" w:rsidRPr="00000000" w14:paraId="0000005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Department of C&amp;I </w:t>
      <w:tab/>
      <w:tab/>
      <w:tab/>
      <w:tab/>
      <w:tab/>
      <w:tab/>
      <w:tab/>
      <w:tab/>
      <w:t xml:space="preserve">Working Draft </w:t>
      <w:tab/>
      <w:tab/>
      <w:tab/>
      <w:tab/>
      <w:tab/>
      <w:tab/>
      <w:tab/>
      <w:t xml:space="preserve">Revised: June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>
        <w:b w:val="1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804863" cy="804863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San Antonio Independent School District </w:t>
    </w:r>
  </w:p>
  <w:p w:rsidR="00000000" w:rsidDel="00000000" w:rsidP="00000000" w:rsidRDefault="00000000" w:rsidRPr="00000000" w14:paraId="0000005E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Year-at-a-Glance</w:t>
      <w:br w:type="textWrapping"/>
      <w:tab/>
      <w:tab/>
      <w:t xml:space="preserve">WL Spanish II, 2021 - 2022</w:t>
    </w:r>
  </w:p>
  <w:p w:rsidR="00000000" w:rsidDel="00000000" w:rsidP="00000000" w:rsidRDefault="00000000" w:rsidRPr="00000000" w14:paraId="0000005F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line="276" w:lineRule="auto"/>
      <w:rPr>
        <w:b w:val="1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color w:val="695d46"/>
      </w:rPr>
      <w:drawing>
        <wp:inline distB="114300" distT="114300" distL="114300" distR="114300">
          <wp:extent cx="9063038" cy="190500"/>
          <wp:effectExtent b="0" l="0" r="0" t="0"/>
          <wp:docPr descr="horizontal line" id="8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2"/>
                  <a:srcRect b="-32286" l="0" r="0" t="0"/>
                  <a:stretch>
                    <a:fillRect/>
                  </a:stretch>
                </pic:blipFill>
                <pic:spPr>
                  <a:xfrm>
                    <a:off x="0" y="0"/>
                    <a:ext cx="9063038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K_SedSw4ZwadJ4V4b2jXlW9UI77lyThfRXoL8DOULjM/edit?usp=sharing" TargetMode="External"/><Relationship Id="rId10" Type="http://schemas.openxmlformats.org/officeDocument/2006/relationships/hyperlink" Target="https://docs.google.com/document/d/1K_SedSw4ZwadJ4V4b2jXlW9UI77lyThfRXoL8DOULjM/edit?usp=sharing" TargetMode="External"/><Relationship Id="rId13" Type="http://schemas.openxmlformats.org/officeDocument/2006/relationships/hyperlink" Target="https://docs.google.com/document/d/1K_SedSw4ZwadJ4V4b2jXlW9UI77lyThfRXoL8DOULjM/edit?usp=sharing" TargetMode="External"/><Relationship Id="rId12" Type="http://schemas.openxmlformats.org/officeDocument/2006/relationships/hyperlink" Target="https://docs.google.com/document/d/1K_SedSw4ZwadJ4V4b2jXlW9UI77lyThfRXoL8DOULjM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hyperlink" Target="https://drive.google.com/file/d/18X-sl09LzUQmlIGWqOJJhBrjyDCF5OjN/view?usp=sharing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s://drive.google.com/file/d/18X-sl09LzUQmlIGWqOJJhBrjyDCF5OjN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yCGmYWUF0bi/WoJdzEGWWrg6w==">AMUW2mV0TgncUAVZGZpuIu9slaAzGzbgSEFNmiNTpSMYtdT4NfDt6wX+eycZmkSDc0AQoH6zMVB8mGMRRqTOTr1+miLKjdHK1g4fr2mcaBF++4jQSICrTX8=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